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pgSz w:w="12240" w:h="15840"/>
      <w:pgMar w:top="1440" w:right="1800" w:bottom="1440" w:left="1800" w:header="720" w:footer="720" w:gutter="0"/>
      <w:cols w:space="720"/>
      <w:docGrid w:linePitch="360"/>
    </w:sectPr>
    <w:p w14:paraId="307B61A4" w14:textId="77777777" w:rsidR="002E4C6A" w:rsidRDefault="00000000" w:rsidP="001018AF">
      <w:pPr>
        <w:spacing w:after="40"/>
        <w:ind w:left="-810" w:right="-720"/>
      </w:pPr>
      <w:r>
        <w:rPr>
          <w:rFonts w:ascii="Arial" w:hAnsi="Arial"/>
          <w:b/>
          <w:color w:val="1E3A5F"/>
          <w:sz w:val="23"/>
        </w:rPr>
        <w:t>Honors Chemistry — Unit 1: Foundations of Chemistry &amp; the Nature of Science</w:t>
      </w:r>
    </w:p>
    <w:p w14:paraId="085DAB2C" w14:textId="77777777" w:rsidR="002E4C6A" w:rsidRDefault="00000000" w:rsidP="001018AF">
      <w:pPr>
        <w:spacing w:after="240"/>
        <w:ind w:left="-810" w:right="-720"/>
      </w:pPr>
      <w:r>
        <w:rPr>
          <w:rFonts w:ascii="Arial" w:hAnsi="Arial"/>
          <w:color w:val="444444"/>
          <w:sz w:val="19"/>
        </w:rPr>
        <w:t>ASPIRE TO DO   |   Area 3 · Data, Graphs &amp; Evidence</w:t>
      </w:r>
    </w:p>
    <w:p w14:paraId="0C7C5B41" w14:textId="77777777" w:rsidR="002E4C6A" w:rsidRDefault="00000000" w:rsidP="001018AF">
      <w:pPr>
        <w:spacing w:after="80"/>
        <w:ind w:left="-810" w:right="-720"/>
      </w:pPr>
      <w:r>
        <w:rPr>
          <w:rFonts w:ascii="Arial" w:hAnsi="Arial"/>
          <w:b/>
          <w:sz w:val="32"/>
        </w:rPr>
        <w:t>Option A: Data Storyteller</w:t>
      </w:r>
    </w:p>
    <w:p w14:paraId="19C57CCB" w14:textId="77777777" w:rsidR="002E4C6A" w:rsidRDefault="00000000" w:rsidP="001018AF">
      <w:pPr>
        <w:spacing w:after="360" w:line="240" w:lineRule="auto"/>
        <w:ind w:left="-806" w:right="-720"/>
        <w:contextualSpacing/>
      </w:pPr>
      <w:r>
        <w:rPr>
          <w:rFonts w:ascii="Arial" w:hAnsi="Arial"/>
          <w:b/>
          <w:color w:val="444444"/>
          <w:sz w:val="19"/>
        </w:rPr>
        <w:t>Stretches Level 3.0 targets: SC.912.N.1.1 T3 • SC.912.N.1.6 T2, T3</w:t>
      </w:r>
    </w:p>
    <w:p w14:paraId="34349703" w14:textId="77777777" w:rsidR="001018AF" w:rsidRDefault="001018AF" w:rsidP="001018AF">
      <w:pPr>
        <w:spacing w:after="120" w:line="240" w:lineRule="auto"/>
        <w:ind w:left="-806" w:right="-720"/>
        <w:contextualSpacing/>
        <w:rPr>
          <w:rFonts w:ascii="Arial" w:hAnsi="Arial"/>
          <w:sz w:val="21"/>
        </w:rPr>
      </w:pPr>
    </w:p>
    <w:p w14:paraId="485149B8" w14:textId="297B4D71" w:rsidR="002E4C6A" w:rsidRPr="001018AF" w:rsidRDefault="00000000" w:rsidP="001018AF">
      <w:pPr>
        <w:spacing w:after="120" w:line="240" w:lineRule="auto"/>
        <w:ind w:left="-806" w:right="-720"/>
        <w:contextualSpacing/>
        <w:rPr>
          <w:rFonts w:ascii="Arial" w:hAnsi="Arial"/>
          <w:sz w:val="21"/>
        </w:rPr>
      </w:pPr>
      <w:r>
        <w:rPr>
          <w:rFonts w:ascii="Arial" w:hAnsi="Arial"/>
          <w:sz w:val="21"/>
        </w:rPr>
        <w:t xml:space="preserve">Here is a </w:t>
      </w:r>
      <w:r w:rsidR="001018AF">
        <w:rPr>
          <w:rFonts w:ascii="Arial" w:hAnsi="Arial"/>
          <w:sz w:val="21"/>
        </w:rPr>
        <w:t>solubility</w:t>
      </w:r>
      <w:r>
        <w:rPr>
          <w:rFonts w:ascii="Arial" w:hAnsi="Arial"/>
          <w:sz w:val="21"/>
        </w:rPr>
        <w:t xml:space="preserve"> dataset. Your job: become the scientific storyteller. You must analyze the contrasting solubility behaviors of three different salts, model their temperature dependencies, draw rigorous inferences based on thermodynamic concepts, and distinguish your observations from your theoretical interpretations.</w:t>
      </w:r>
    </w:p>
    <w:p w14:paraId="7185E6BE" w14:textId="77777777" w:rsidR="002E4C6A" w:rsidRDefault="00000000" w:rsidP="001018AF">
      <w:pPr>
        <w:spacing w:before="240" w:after="120"/>
        <w:ind w:left="-810" w:right="-720"/>
      </w:pPr>
      <w:r>
        <w:rPr>
          <w:rFonts w:ascii="Arial" w:hAnsi="Arial"/>
          <w:b/>
          <w:color w:val="1E3A5F"/>
          <w:sz w:val="26"/>
        </w:rPr>
        <w:t>The Data — Comparative Solubility of Salts</w:t>
      </w:r>
    </w:p>
    <w:p w14:paraId="38F1EB21" w14:textId="26450B60" w:rsidR="002E4C6A" w:rsidRPr="001018AF" w:rsidRDefault="00000000" w:rsidP="001018AF">
      <w:pPr>
        <w:spacing w:after="120"/>
        <w:ind w:left="-810" w:right="-720"/>
        <w:rPr>
          <w:sz w:val="20"/>
          <w:szCs w:val="20"/>
        </w:rPr>
      </w:pPr>
      <w:r w:rsidRPr="001018AF">
        <w:rPr>
          <w:rFonts w:ascii="Arial" w:hAnsi="Arial"/>
          <w:sz w:val="20"/>
          <w:szCs w:val="20"/>
        </w:rPr>
        <w:t>The table below shows the maximum mass of three salts</w:t>
      </w:r>
      <w:r w:rsidR="001018AF">
        <w:rPr>
          <w:rFonts w:ascii="Arial" w:hAnsi="Arial"/>
          <w:sz w:val="20"/>
          <w:szCs w:val="20"/>
        </w:rPr>
        <w:t xml:space="preserve">: </w:t>
      </w:r>
      <w:r w:rsidRPr="001018AF">
        <w:rPr>
          <w:rFonts w:ascii="Arial" w:hAnsi="Arial"/>
          <w:sz w:val="20"/>
          <w:szCs w:val="20"/>
        </w:rPr>
        <w:t xml:space="preserve">Potassium Nitrate (KNO₃), Sodium Chloride (NaCl), and </w:t>
      </w:r>
      <w:proofErr w:type="gramStart"/>
      <w:r w:rsidRPr="001018AF">
        <w:rPr>
          <w:rFonts w:ascii="Arial" w:hAnsi="Arial"/>
          <w:sz w:val="20"/>
          <w:szCs w:val="20"/>
        </w:rPr>
        <w:t>Cerium(</w:t>
      </w:r>
      <w:proofErr w:type="gramEnd"/>
      <w:r w:rsidRPr="001018AF">
        <w:rPr>
          <w:rFonts w:ascii="Arial" w:hAnsi="Arial"/>
          <w:sz w:val="20"/>
          <w:szCs w:val="20"/>
        </w:rPr>
        <w:t>III) Sulfate (Ce₂(SO</w:t>
      </w:r>
      <w:proofErr w:type="gramStart"/>
      <w:r w:rsidRPr="001018AF">
        <w:rPr>
          <w:rFonts w:ascii="Arial" w:hAnsi="Arial"/>
          <w:sz w:val="20"/>
          <w:szCs w:val="20"/>
        </w:rPr>
        <w:t>₄)₃</w:t>
      </w:r>
      <w:proofErr w:type="gramEnd"/>
      <w:r w:rsidRPr="001018AF">
        <w:rPr>
          <w:rFonts w:ascii="Arial" w:hAnsi="Arial"/>
          <w:sz w:val="20"/>
          <w:szCs w:val="20"/>
        </w:rPr>
        <w:t>)</w:t>
      </w:r>
      <w:r w:rsidR="001018AF">
        <w:rPr>
          <w:rFonts w:ascii="Arial" w:hAnsi="Arial"/>
          <w:sz w:val="20"/>
          <w:szCs w:val="20"/>
        </w:rPr>
        <w:t xml:space="preserve">, </w:t>
      </w:r>
      <w:r w:rsidRPr="001018AF">
        <w:rPr>
          <w:rFonts w:ascii="Arial" w:hAnsi="Arial"/>
          <w:sz w:val="20"/>
          <w:szCs w:val="20"/>
        </w:rPr>
        <w:t>that dissolve in 100 g of water at varying temperatures.</w:t>
      </w:r>
    </w:p>
    <w:tbl>
      <w:tblPr>
        <w:tblW w:w="10710" w:type="dxa"/>
        <w:tblInd w:w="-612" w:type="dxa"/>
        <w:tblLook w:val="04A0" w:firstRow="1" w:lastRow="0" w:firstColumn="1" w:lastColumn="0" w:noHBand="0" w:noVBand="1"/>
      </w:tblPr>
      <w:tblGrid>
        <w:gridCol w:w="2160"/>
        <w:gridCol w:w="2790"/>
        <w:gridCol w:w="2682"/>
        <w:gridCol w:w="3078"/>
      </w:tblGrid>
      <w:tr w:rsidR="002E4C6A" w14:paraId="685B3BC8" w14:textId="77777777" w:rsidTr="001018AF">
        <w:tc>
          <w:tcPr>
            <w:tcW w:w="2160" w:type="dxa"/>
            <w:tcBorders>
              <w:top w:val="single" w:sz="4" w:space="0" w:color="D3D3D3"/>
              <w:left w:val="single" w:sz="4" w:space="0" w:color="D3D3D3"/>
              <w:bottom w:val="single" w:sz="4" w:space="0" w:color="D3D3D3"/>
              <w:right w:val="single" w:sz="4" w:space="0" w:color="D3D3D3"/>
            </w:tcBorders>
          </w:tcPr>
          <w:p w14:paraId="33D61E3E" w14:textId="77777777" w:rsidR="002E4C6A" w:rsidRDefault="00000000">
            <w:r>
              <w:rPr>
                <w:rFonts w:ascii="Arial" w:hAnsi="Arial"/>
                <w:b/>
                <w:sz w:val="20"/>
              </w:rPr>
              <w:t>Temperature (°C)</w:t>
            </w:r>
          </w:p>
        </w:tc>
        <w:tc>
          <w:tcPr>
            <w:tcW w:w="2790" w:type="dxa"/>
            <w:tcBorders>
              <w:top w:val="single" w:sz="4" w:space="0" w:color="D3D3D3"/>
              <w:left w:val="single" w:sz="4" w:space="0" w:color="D3D3D3"/>
              <w:bottom w:val="single" w:sz="4" w:space="0" w:color="D3D3D3"/>
              <w:right w:val="single" w:sz="4" w:space="0" w:color="D3D3D3"/>
            </w:tcBorders>
          </w:tcPr>
          <w:p w14:paraId="3852EE6A" w14:textId="77777777" w:rsidR="002E4C6A" w:rsidRDefault="00000000">
            <w:r>
              <w:rPr>
                <w:rFonts w:ascii="Arial" w:hAnsi="Arial"/>
                <w:b/>
                <w:sz w:val="20"/>
              </w:rPr>
              <w:t>KNO₃ Solubility (g/100 g)</w:t>
            </w:r>
          </w:p>
        </w:tc>
        <w:tc>
          <w:tcPr>
            <w:tcW w:w="2682" w:type="dxa"/>
            <w:tcBorders>
              <w:top w:val="single" w:sz="4" w:space="0" w:color="D3D3D3"/>
              <w:left w:val="single" w:sz="4" w:space="0" w:color="D3D3D3"/>
              <w:bottom w:val="single" w:sz="4" w:space="0" w:color="D3D3D3"/>
              <w:right w:val="single" w:sz="4" w:space="0" w:color="D3D3D3"/>
            </w:tcBorders>
          </w:tcPr>
          <w:p w14:paraId="609133B2" w14:textId="77777777" w:rsidR="002E4C6A" w:rsidRDefault="00000000">
            <w:r>
              <w:rPr>
                <w:rFonts w:ascii="Arial" w:hAnsi="Arial"/>
                <w:b/>
                <w:sz w:val="20"/>
              </w:rPr>
              <w:t>NaCl Solubility (g/100 g)</w:t>
            </w:r>
          </w:p>
        </w:tc>
        <w:tc>
          <w:tcPr>
            <w:tcW w:w="3078" w:type="dxa"/>
            <w:tcBorders>
              <w:top w:val="single" w:sz="4" w:space="0" w:color="D3D3D3"/>
              <w:left w:val="single" w:sz="4" w:space="0" w:color="D3D3D3"/>
              <w:bottom w:val="single" w:sz="4" w:space="0" w:color="D3D3D3"/>
              <w:right w:val="single" w:sz="4" w:space="0" w:color="D3D3D3"/>
            </w:tcBorders>
          </w:tcPr>
          <w:p w14:paraId="3D790FAD" w14:textId="77777777" w:rsidR="002E4C6A" w:rsidRDefault="00000000">
            <w:r>
              <w:rPr>
                <w:rFonts w:ascii="Arial" w:hAnsi="Arial"/>
                <w:b/>
                <w:sz w:val="20"/>
              </w:rPr>
              <w:t>Ce₂(SO₄)₃ Solubility (g/100 g)</w:t>
            </w:r>
          </w:p>
        </w:tc>
      </w:tr>
      <w:tr w:rsidR="002E4C6A" w14:paraId="48FCEE52" w14:textId="77777777" w:rsidTr="001018AF">
        <w:tc>
          <w:tcPr>
            <w:tcW w:w="2160" w:type="dxa"/>
            <w:tcBorders>
              <w:top w:val="single" w:sz="4" w:space="0" w:color="D3D3D3"/>
              <w:left w:val="single" w:sz="4" w:space="0" w:color="D3D3D3"/>
              <w:bottom w:val="single" w:sz="4" w:space="0" w:color="D3D3D3"/>
              <w:right w:val="single" w:sz="4" w:space="0" w:color="D3D3D3"/>
            </w:tcBorders>
          </w:tcPr>
          <w:p w14:paraId="0F1162FE" w14:textId="77777777" w:rsidR="002E4C6A" w:rsidRDefault="00000000">
            <w:r>
              <w:rPr>
                <w:rFonts w:ascii="Arial" w:hAnsi="Arial"/>
                <w:sz w:val="20"/>
              </w:rPr>
              <w:t>0</w:t>
            </w:r>
          </w:p>
        </w:tc>
        <w:tc>
          <w:tcPr>
            <w:tcW w:w="2790" w:type="dxa"/>
            <w:tcBorders>
              <w:top w:val="single" w:sz="4" w:space="0" w:color="D3D3D3"/>
              <w:left w:val="single" w:sz="4" w:space="0" w:color="D3D3D3"/>
              <w:bottom w:val="single" w:sz="4" w:space="0" w:color="D3D3D3"/>
              <w:right w:val="single" w:sz="4" w:space="0" w:color="D3D3D3"/>
            </w:tcBorders>
          </w:tcPr>
          <w:p w14:paraId="290F5D00" w14:textId="77777777" w:rsidR="002E4C6A" w:rsidRDefault="00000000">
            <w:r>
              <w:rPr>
                <w:rFonts w:ascii="Arial" w:hAnsi="Arial"/>
                <w:sz w:val="20"/>
              </w:rPr>
              <w:t>13.0</w:t>
            </w:r>
          </w:p>
        </w:tc>
        <w:tc>
          <w:tcPr>
            <w:tcW w:w="2682" w:type="dxa"/>
            <w:tcBorders>
              <w:top w:val="single" w:sz="4" w:space="0" w:color="D3D3D3"/>
              <w:left w:val="single" w:sz="4" w:space="0" w:color="D3D3D3"/>
              <w:bottom w:val="single" w:sz="4" w:space="0" w:color="D3D3D3"/>
              <w:right w:val="single" w:sz="4" w:space="0" w:color="D3D3D3"/>
            </w:tcBorders>
          </w:tcPr>
          <w:p w14:paraId="4D6FA1B7" w14:textId="77777777" w:rsidR="002E4C6A" w:rsidRDefault="00000000">
            <w:r>
              <w:rPr>
                <w:rFonts w:ascii="Arial" w:hAnsi="Arial"/>
                <w:sz w:val="20"/>
              </w:rPr>
              <w:t>35.7</w:t>
            </w:r>
          </w:p>
        </w:tc>
        <w:tc>
          <w:tcPr>
            <w:tcW w:w="3078" w:type="dxa"/>
            <w:tcBorders>
              <w:top w:val="single" w:sz="4" w:space="0" w:color="D3D3D3"/>
              <w:left w:val="single" w:sz="4" w:space="0" w:color="D3D3D3"/>
              <w:bottom w:val="single" w:sz="4" w:space="0" w:color="D3D3D3"/>
              <w:right w:val="single" w:sz="4" w:space="0" w:color="D3D3D3"/>
            </w:tcBorders>
          </w:tcPr>
          <w:p w14:paraId="4E9BC5B7" w14:textId="77777777" w:rsidR="002E4C6A" w:rsidRDefault="00000000">
            <w:r>
              <w:rPr>
                <w:rFonts w:ascii="Arial" w:hAnsi="Arial"/>
                <w:sz w:val="20"/>
              </w:rPr>
              <w:t>20.8</w:t>
            </w:r>
          </w:p>
        </w:tc>
      </w:tr>
      <w:tr w:rsidR="002E4C6A" w14:paraId="1BEDC033" w14:textId="77777777" w:rsidTr="001018AF">
        <w:tc>
          <w:tcPr>
            <w:tcW w:w="2160" w:type="dxa"/>
            <w:tcBorders>
              <w:top w:val="single" w:sz="4" w:space="0" w:color="D3D3D3"/>
              <w:left w:val="single" w:sz="4" w:space="0" w:color="D3D3D3"/>
              <w:bottom w:val="single" w:sz="4" w:space="0" w:color="D3D3D3"/>
              <w:right w:val="single" w:sz="4" w:space="0" w:color="D3D3D3"/>
            </w:tcBorders>
          </w:tcPr>
          <w:p w14:paraId="2A4FAEC2" w14:textId="77777777" w:rsidR="002E4C6A" w:rsidRDefault="00000000">
            <w:r>
              <w:rPr>
                <w:rFonts w:ascii="Arial" w:hAnsi="Arial"/>
                <w:sz w:val="20"/>
              </w:rPr>
              <w:t>20</w:t>
            </w:r>
          </w:p>
        </w:tc>
        <w:tc>
          <w:tcPr>
            <w:tcW w:w="2790" w:type="dxa"/>
            <w:tcBorders>
              <w:top w:val="single" w:sz="4" w:space="0" w:color="D3D3D3"/>
              <w:left w:val="single" w:sz="4" w:space="0" w:color="D3D3D3"/>
              <w:bottom w:val="single" w:sz="4" w:space="0" w:color="D3D3D3"/>
              <w:right w:val="single" w:sz="4" w:space="0" w:color="D3D3D3"/>
            </w:tcBorders>
          </w:tcPr>
          <w:p w14:paraId="4DF022B1" w14:textId="77777777" w:rsidR="002E4C6A" w:rsidRDefault="00000000">
            <w:r>
              <w:rPr>
                <w:rFonts w:ascii="Arial" w:hAnsi="Arial"/>
                <w:sz w:val="20"/>
              </w:rPr>
              <w:t>32.0</w:t>
            </w:r>
          </w:p>
        </w:tc>
        <w:tc>
          <w:tcPr>
            <w:tcW w:w="2682" w:type="dxa"/>
            <w:tcBorders>
              <w:top w:val="single" w:sz="4" w:space="0" w:color="D3D3D3"/>
              <w:left w:val="single" w:sz="4" w:space="0" w:color="D3D3D3"/>
              <w:bottom w:val="single" w:sz="4" w:space="0" w:color="D3D3D3"/>
              <w:right w:val="single" w:sz="4" w:space="0" w:color="D3D3D3"/>
            </w:tcBorders>
          </w:tcPr>
          <w:p w14:paraId="106FAE74" w14:textId="77777777" w:rsidR="002E4C6A" w:rsidRDefault="00000000">
            <w:r>
              <w:rPr>
                <w:rFonts w:ascii="Arial" w:hAnsi="Arial"/>
                <w:sz w:val="20"/>
              </w:rPr>
              <w:t>36.0</w:t>
            </w:r>
          </w:p>
        </w:tc>
        <w:tc>
          <w:tcPr>
            <w:tcW w:w="3078" w:type="dxa"/>
            <w:tcBorders>
              <w:top w:val="single" w:sz="4" w:space="0" w:color="D3D3D3"/>
              <w:left w:val="single" w:sz="4" w:space="0" w:color="D3D3D3"/>
              <w:bottom w:val="single" w:sz="4" w:space="0" w:color="D3D3D3"/>
              <w:right w:val="single" w:sz="4" w:space="0" w:color="D3D3D3"/>
            </w:tcBorders>
          </w:tcPr>
          <w:p w14:paraId="27845CED" w14:textId="77777777" w:rsidR="002E4C6A" w:rsidRDefault="00000000">
            <w:r>
              <w:rPr>
                <w:rFonts w:ascii="Arial" w:hAnsi="Arial"/>
                <w:sz w:val="20"/>
              </w:rPr>
              <w:t>10.1</w:t>
            </w:r>
          </w:p>
        </w:tc>
      </w:tr>
      <w:tr w:rsidR="002E4C6A" w14:paraId="45FE2E5B" w14:textId="77777777" w:rsidTr="001018AF">
        <w:tc>
          <w:tcPr>
            <w:tcW w:w="2160" w:type="dxa"/>
            <w:tcBorders>
              <w:top w:val="single" w:sz="4" w:space="0" w:color="D3D3D3"/>
              <w:left w:val="single" w:sz="4" w:space="0" w:color="D3D3D3"/>
              <w:bottom w:val="single" w:sz="4" w:space="0" w:color="D3D3D3"/>
              <w:right w:val="single" w:sz="4" w:space="0" w:color="D3D3D3"/>
            </w:tcBorders>
          </w:tcPr>
          <w:p w14:paraId="0AF31EAD" w14:textId="77777777" w:rsidR="002E4C6A" w:rsidRDefault="00000000">
            <w:r>
              <w:rPr>
                <w:rFonts w:ascii="Arial" w:hAnsi="Arial"/>
                <w:sz w:val="20"/>
              </w:rPr>
              <w:t>40</w:t>
            </w:r>
          </w:p>
        </w:tc>
        <w:tc>
          <w:tcPr>
            <w:tcW w:w="2790" w:type="dxa"/>
            <w:tcBorders>
              <w:top w:val="single" w:sz="4" w:space="0" w:color="D3D3D3"/>
              <w:left w:val="single" w:sz="4" w:space="0" w:color="D3D3D3"/>
              <w:bottom w:val="single" w:sz="4" w:space="0" w:color="D3D3D3"/>
              <w:right w:val="single" w:sz="4" w:space="0" w:color="D3D3D3"/>
            </w:tcBorders>
          </w:tcPr>
          <w:p w14:paraId="2BEC8487" w14:textId="77777777" w:rsidR="002E4C6A" w:rsidRDefault="00000000">
            <w:r>
              <w:rPr>
                <w:rFonts w:ascii="Arial" w:hAnsi="Arial"/>
                <w:sz w:val="20"/>
              </w:rPr>
              <w:t>64.0</w:t>
            </w:r>
          </w:p>
        </w:tc>
        <w:tc>
          <w:tcPr>
            <w:tcW w:w="2682" w:type="dxa"/>
            <w:tcBorders>
              <w:top w:val="single" w:sz="4" w:space="0" w:color="D3D3D3"/>
              <w:left w:val="single" w:sz="4" w:space="0" w:color="D3D3D3"/>
              <w:bottom w:val="single" w:sz="4" w:space="0" w:color="D3D3D3"/>
              <w:right w:val="single" w:sz="4" w:space="0" w:color="D3D3D3"/>
            </w:tcBorders>
          </w:tcPr>
          <w:p w14:paraId="2BA4F2EE" w14:textId="77777777" w:rsidR="002E4C6A" w:rsidRDefault="00000000">
            <w:r>
              <w:rPr>
                <w:rFonts w:ascii="Arial" w:hAnsi="Arial"/>
                <w:sz w:val="20"/>
              </w:rPr>
              <w:t>36.6</w:t>
            </w:r>
          </w:p>
        </w:tc>
        <w:tc>
          <w:tcPr>
            <w:tcW w:w="3078" w:type="dxa"/>
            <w:tcBorders>
              <w:top w:val="single" w:sz="4" w:space="0" w:color="D3D3D3"/>
              <w:left w:val="single" w:sz="4" w:space="0" w:color="D3D3D3"/>
              <w:bottom w:val="single" w:sz="4" w:space="0" w:color="D3D3D3"/>
              <w:right w:val="single" w:sz="4" w:space="0" w:color="D3D3D3"/>
            </w:tcBorders>
          </w:tcPr>
          <w:p w14:paraId="72085DAA" w14:textId="77777777" w:rsidR="002E4C6A" w:rsidRDefault="00000000">
            <w:r>
              <w:rPr>
                <w:rFonts w:ascii="Arial" w:hAnsi="Arial"/>
                <w:sz w:val="20"/>
              </w:rPr>
              <w:t>5.6</w:t>
            </w:r>
          </w:p>
        </w:tc>
      </w:tr>
      <w:tr w:rsidR="002E4C6A" w14:paraId="1646BB7A" w14:textId="77777777" w:rsidTr="001018AF">
        <w:tc>
          <w:tcPr>
            <w:tcW w:w="2160" w:type="dxa"/>
            <w:tcBorders>
              <w:top w:val="single" w:sz="4" w:space="0" w:color="D3D3D3"/>
              <w:left w:val="single" w:sz="4" w:space="0" w:color="D3D3D3"/>
              <w:bottom w:val="single" w:sz="4" w:space="0" w:color="D3D3D3"/>
              <w:right w:val="single" w:sz="4" w:space="0" w:color="D3D3D3"/>
            </w:tcBorders>
          </w:tcPr>
          <w:p w14:paraId="43452C9B" w14:textId="77777777" w:rsidR="002E4C6A" w:rsidRDefault="00000000">
            <w:r>
              <w:rPr>
                <w:rFonts w:ascii="Arial" w:hAnsi="Arial"/>
                <w:sz w:val="20"/>
              </w:rPr>
              <w:t>60</w:t>
            </w:r>
          </w:p>
        </w:tc>
        <w:tc>
          <w:tcPr>
            <w:tcW w:w="2790" w:type="dxa"/>
            <w:tcBorders>
              <w:top w:val="single" w:sz="4" w:space="0" w:color="D3D3D3"/>
              <w:left w:val="single" w:sz="4" w:space="0" w:color="D3D3D3"/>
              <w:bottom w:val="single" w:sz="4" w:space="0" w:color="D3D3D3"/>
              <w:right w:val="single" w:sz="4" w:space="0" w:color="D3D3D3"/>
            </w:tcBorders>
          </w:tcPr>
          <w:p w14:paraId="4FCCFE17" w14:textId="77777777" w:rsidR="002E4C6A" w:rsidRDefault="00000000">
            <w:r>
              <w:rPr>
                <w:rFonts w:ascii="Arial" w:hAnsi="Arial"/>
                <w:sz w:val="20"/>
              </w:rPr>
              <w:t>108.0</w:t>
            </w:r>
          </w:p>
        </w:tc>
        <w:tc>
          <w:tcPr>
            <w:tcW w:w="2682" w:type="dxa"/>
            <w:tcBorders>
              <w:top w:val="single" w:sz="4" w:space="0" w:color="D3D3D3"/>
              <w:left w:val="single" w:sz="4" w:space="0" w:color="D3D3D3"/>
              <w:bottom w:val="single" w:sz="4" w:space="0" w:color="D3D3D3"/>
              <w:right w:val="single" w:sz="4" w:space="0" w:color="D3D3D3"/>
            </w:tcBorders>
          </w:tcPr>
          <w:p w14:paraId="063C92A6" w14:textId="77777777" w:rsidR="002E4C6A" w:rsidRDefault="00000000">
            <w:r>
              <w:rPr>
                <w:rFonts w:ascii="Arial" w:hAnsi="Arial"/>
                <w:sz w:val="20"/>
              </w:rPr>
              <w:t>37.3</w:t>
            </w:r>
          </w:p>
        </w:tc>
        <w:tc>
          <w:tcPr>
            <w:tcW w:w="3078" w:type="dxa"/>
            <w:tcBorders>
              <w:top w:val="single" w:sz="4" w:space="0" w:color="D3D3D3"/>
              <w:left w:val="single" w:sz="4" w:space="0" w:color="D3D3D3"/>
              <w:bottom w:val="single" w:sz="4" w:space="0" w:color="D3D3D3"/>
              <w:right w:val="single" w:sz="4" w:space="0" w:color="D3D3D3"/>
            </w:tcBorders>
          </w:tcPr>
          <w:p w14:paraId="5CD2990F" w14:textId="77777777" w:rsidR="002E4C6A" w:rsidRDefault="00000000">
            <w:r>
              <w:rPr>
                <w:rFonts w:ascii="Arial" w:hAnsi="Arial"/>
                <w:sz w:val="20"/>
              </w:rPr>
              <w:t>3.8</w:t>
            </w:r>
          </w:p>
        </w:tc>
      </w:tr>
      <w:tr w:rsidR="002E4C6A" w14:paraId="6B63A70B" w14:textId="77777777" w:rsidTr="001018AF">
        <w:tc>
          <w:tcPr>
            <w:tcW w:w="2160" w:type="dxa"/>
            <w:tcBorders>
              <w:top w:val="single" w:sz="4" w:space="0" w:color="D3D3D3"/>
              <w:left w:val="single" w:sz="4" w:space="0" w:color="D3D3D3"/>
              <w:bottom w:val="single" w:sz="4" w:space="0" w:color="D3D3D3"/>
              <w:right w:val="single" w:sz="4" w:space="0" w:color="D3D3D3"/>
            </w:tcBorders>
          </w:tcPr>
          <w:p w14:paraId="329307CB" w14:textId="77777777" w:rsidR="002E4C6A" w:rsidRDefault="00000000">
            <w:r>
              <w:rPr>
                <w:rFonts w:ascii="Arial" w:hAnsi="Arial"/>
                <w:sz w:val="20"/>
              </w:rPr>
              <w:t>80</w:t>
            </w:r>
          </w:p>
        </w:tc>
        <w:tc>
          <w:tcPr>
            <w:tcW w:w="2790" w:type="dxa"/>
            <w:tcBorders>
              <w:top w:val="single" w:sz="4" w:space="0" w:color="D3D3D3"/>
              <w:left w:val="single" w:sz="4" w:space="0" w:color="D3D3D3"/>
              <w:bottom w:val="single" w:sz="4" w:space="0" w:color="D3D3D3"/>
              <w:right w:val="single" w:sz="4" w:space="0" w:color="D3D3D3"/>
            </w:tcBorders>
          </w:tcPr>
          <w:p w14:paraId="4D9ED3BB" w14:textId="77777777" w:rsidR="002E4C6A" w:rsidRDefault="00000000">
            <w:r>
              <w:rPr>
                <w:rFonts w:ascii="Arial" w:hAnsi="Arial"/>
                <w:sz w:val="20"/>
              </w:rPr>
              <w:t>169.0</w:t>
            </w:r>
          </w:p>
        </w:tc>
        <w:tc>
          <w:tcPr>
            <w:tcW w:w="2682" w:type="dxa"/>
            <w:tcBorders>
              <w:top w:val="single" w:sz="4" w:space="0" w:color="D3D3D3"/>
              <w:left w:val="single" w:sz="4" w:space="0" w:color="D3D3D3"/>
              <w:bottom w:val="single" w:sz="4" w:space="0" w:color="D3D3D3"/>
              <w:right w:val="single" w:sz="4" w:space="0" w:color="D3D3D3"/>
            </w:tcBorders>
          </w:tcPr>
          <w:p w14:paraId="612D96BB" w14:textId="77777777" w:rsidR="002E4C6A" w:rsidRDefault="00000000">
            <w:r>
              <w:rPr>
                <w:rFonts w:ascii="Arial" w:hAnsi="Arial"/>
                <w:sz w:val="20"/>
              </w:rPr>
              <w:t>38.4</w:t>
            </w:r>
          </w:p>
        </w:tc>
        <w:tc>
          <w:tcPr>
            <w:tcW w:w="3078" w:type="dxa"/>
            <w:tcBorders>
              <w:top w:val="single" w:sz="4" w:space="0" w:color="D3D3D3"/>
              <w:left w:val="single" w:sz="4" w:space="0" w:color="D3D3D3"/>
              <w:bottom w:val="single" w:sz="4" w:space="0" w:color="D3D3D3"/>
              <w:right w:val="single" w:sz="4" w:space="0" w:color="D3D3D3"/>
            </w:tcBorders>
          </w:tcPr>
          <w:p w14:paraId="2CFC700E" w14:textId="77777777" w:rsidR="002E4C6A" w:rsidRDefault="00000000">
            <w:r>
              <w:rPr>
                <w:rFonts w:ascii="Arial" w:hAnsi="Arial"/>
                <w:sz w:val="20"/>
              </w:rPr>
              <w:t>2.2</w:t>
            </w:r>
          </w:p>
        </w:tc>
      </w:tr>
    </w:tbl>
    <w:p w14:paraId="174C3205" w14:textId="77777777" w:rsidR="002E4C6A" w:rsidRDefault="00000000" w:rsidP="001018AF">
      <w:pPr>
        <w:spacing w:before="240" w:after="120"/>
        <w:ind w:left="-360" w:right="-630"/>
      </w:pPr>
      <w:r>
        <w:rPr>
          <w:rFonts w:ascii="Arial" w:hAnsi="Arial"/>
          <w:b/>
          <w:color w:val="1E3A5F"/>
          <w:sz w:val="26"/>
        </w:rPr>
        <w:t>Your Tasks</w:t>
      </w:r>
    </w:p>
    <w:p w14:paraId="6127AD40" w14:textId="41D22B74" w:rsidR="002E4C6A" w:rsidRDefault="00000000" w:rsidP="001018AF">
      <w:pPr>
        <w:spacing w:before="160" w:after="80"/>
        <w:ind w:left="-360" w:right="-630"/>
      </w:pPr>
      <w:r>
        <w:rPr>
          <w:rFonts w:ascii="Arial" w:hAnsi="Arial"/>
          <w:b/>
        </w:rPr>
        <w:t xml:space="preserve">Part 1 — Mathematical Modeling &amp; Observation </w:t>
      </w:r>
    </w:p>
    <w:p w14:paraId="4A2E5C5F" w14:textId="77777777" w:rsidR="002E4C6A" w:rsidRPr="001018AF" w:rsidRDefault="00000000" w:rsidP="001018AF">
      <w:pPr>
        <w:pStyle w:val="ListBullet"/>
        <w:spacing w:after="80"/>
        <w:ind w:left="-360" w:right="-630"/>
        <w:rPr>
          <w:sz w:val="20"/>
          <w:szCs w:val="20"/>
        </w:rPr>
      </w:pPr>
      <w:r w:rsidRPr="001018AF">
        <w:rPr>
          <w:rFonts w:ascii="Arial" w:hAnsi="Arial"/>
          <w:sz w:val="20"/>
          <w:szCs w:val="20"/>
        </w:rPr>
        <w:t>State the pattern for each of the three salts purely as observations. Cite specific data points (minimum two per salt).</w:t>
      </w:r>
    </w:p>
    <w:p w14:paraId="6F9A8678" w14:textId="77777777" w:rsidR="002E4C6A" w:rsidRPr="001018AF" w:rsidRDefault="00000000" w:rsidP="001018AF">
      <w:pPr>
        <w:pStyle w:val="ListBullet"/>
        <w:spacing w:after="80"/>
        <w:ind w:left="-360" w:right="-630"/>
        <w:rPr>
          <w:sz w:val="20"/>
          <w:szCs w:val="20"/>
        </w:rPr>
      </w:pPr>
      <w:r w:rsidRPr="001018AF">
        <w:rPr>
          <w:rFonts w:ascii="Arial" w:hAnsi="Arial"/>
          <w:sz w:val="20"/>
          <w:szCs w:val="20"/>
        </w:rPr>
        <w:t>Compare the rates of change of solubility with temperature (ΔSolubility / ΔT) for KNO₃ and Ce₂(SO₄)₃ between 0°C and 20°C, and between 60°C and 80°C. Show your calculations. Is either relationship linear? Explain how the rates accelerate, decelerate, or remain constant.</w:t>
      </w:r>
    </w:p>
    <w:p w14:paraId="1625A142" w14:textId="77777777" w:rsidR="002E4C6A" w:rsidRPr="001018AF" w:rsidRDefault="00000000" w:rsidP="001018AF">
      <w:pPr>
        <w:pStyle w:val="ListBullet"/>
        <w:spacing w:after="80"/>
        <w:ind w:left="-360" w:right="-630"/>
        <w:rPr>
          <w:sz w:val="20"/>
          <w:szCs w:val="20"/>
        </w:rPr>
      </w:pPr>
      <w:r w:rsidRPr="001018AF">
        <w:rPr>
          <w:rFonts w:ascii="Arial" w:hAnsi="Arial"/>
          <w:sz w:val="20"/>
          <w:szCs w:val="20"/>
        </w:rPr>
        <w:t>Graph all three salts on a single graph (by hand or spreadsheet). Fit appropriate trendlines (linear, exponential, or polynomial) and report the equation and R² for each. Justify which mathematical model best fits each salt.</w:t>
      </w:r>
    </w:p>
    <w:p w14:paraId="3CA8179A" w14:textId="36D9E938" w:rsidR="002E4C6A" w:rsidRDefault="00000000" w:rsidP="001018AF">
      <w:pPr>
        <w:spacing w:before="160" w:after="80"/>
        <w:ind w:left="-360" w:right="-630"/>
      </w:pPr>
      <w:r>
        <w:rPr>
          <w:rFonts w:ascii="Arial" w:hAnsi="Arial"/>
          <w:b/>
        </w:rPr>
        <w:t xml:space="preserve">Part 2 — Thermodynamic Inference &amp; Mechanisms </w:t>
      </w:r>
    </w:p>
    <w:p w14:paraId="179E3262" w14:textId="77777777" w:rsidR="002E4C6A" w:rsidRPr="001018AF" w:rsidRDefault="00000000" w:rsidP="001018AF">
      <w:pPr>
        <w:pStyle w:val="ListBullet"/>
        <w:spacing w:after="80"/>
        <w:ind w:left="-360" w:right="-630"/>
        <w:rPr>
          <w:sz w:val="20"/>
          <w:szCs w:val="20"/>
        </w:rPr>
      </w:pPr>
      <w:r w:rsidRPr="001018AF">
        <w:rPr>
          <w:rFonts w:ascii="Arial" w:hAnsi="Arial"/>
          <w:sz w:val="20"/>
          <w:szCs w:val="20"/>
        </w:rPr>
        <w:t>State one chemical inference for each salt explaining why its solubility behaves as it does at the molecular level. Connect your inference to dissolution enthalpy and Le Chatelier’s principle.</w:t>
      </w:r>
    </w:p>
    <w:p w14:paraId="2AFF9F5D" w14:textId="77777777" w:rsidR="002E4C6A" w:rsidRPr="001018AF" w:rsidRDefault="00000000" w:rsidP="001018AF">
      <w:pPr>
        <w:pStyle w:val="ListBullet"/>
        <w:spacing w:after="80"/>
        <w:ind w:left="-360" w:right="-630"/>
        <w:rPr>
          <w:sz w:val="20"/>
          <w:szCs w:val="20"/>
        </w:rPr>
      </w:pPr>
      <w:r w:rsidRPr="001018AF">
        <w:rPr>
          <w:rFonts w:ascii="Arial" w:hAnsi="Arial"/>
          <w:sz w:val="20"/>
          <w:szCs w:val="20"/>
        </w:rPr>
        <w:t>Classify the dissolution process of each salt as net endothermic, net exothermic, or near-neutral. Justify your classification using Le Chatelier’s principle.</w:t>
      </w:r>
    </w:p>
    <w:p w14:paraId="2B916A62" w14:textId="77777777" w:rsidR="002E4C6A" w:rsidRPr="001018AF" w:rsidRDefault="00000000" w:rsidP="001018AF">
      <w:pPr>
        <w:pStyle w:val="ListBullet"/>
        <w:spacing w:after="80"/>
        <w:ind w:left="-360" w:right="-630"/>
        <w:rPr>
          <w:sz w:val="20"/>
          <w:szCs w:val="20"/>
        </w:rPr>
      </w:pPr>
      <w:r w:rsidRPr="001018AF">
        <w:rPr>
          <w:rFonts w:ascii="Arial" w:hAnsi="Arial"/>
          <w:sz w:val="20"/>
          <w:szCs w:val="20"/>
        </w:rPr>
        <w:t>Explain why the thermodynamic mechanisms you described above are classified as inferences, not observations.</w:t>
      </w:r>
    </w:p>
    <w:p w14:paraId="04AB02E7" w14:textId="60D4C848" w:rsidR="002E4C6A" w:rsidRDefault="00000000" w:rsidP="001018AF">
      <w:pPr>
        <w:spacing w:before="160" w:after="80"/>
        <w:ind w:left="-360" w:right="-630"/>
      </w:pPr>
      <w:r>
        <w:rPr>
          <w:rFonts w:ascii="Arial" w:hAnsi="Arial"/>
          <w:b/>
        </w:rPr>
        <w:t xml:space="preserve">Part 3 — Boundaries &amp; Uncertainties </w:t>
      </w:r>
    </w:p>
    <w:p w14:paraId="2F9B0E78" w14:textId="77777777" w:rsidR="002E4C6A" w:rsidRPr="001018AF" w:rsidRDefault="00000000" w:rsidP="001018AF">
      <w:pPr>
        <w:pStyle w:val="ListBullet"/>
        <w:spacing w:after="80"/>
        <w:ind w:left="-360" w:right="-630"/>
        <w:rPr>
          <w:sz w:val="20"/>
          <w:szCs w:val="20"/>
        </w:rPr>
      </w:pPr>
      <w:r w:rsidRPr="001018AF">
        <w:rPr>
          <w:rFonts w:ascii="Arial" w:hAnsi="Arial"/>
          <w:sz w:val="20"/>
          <w:szCs w:val="20"/>
        </w:rPr>
        <w:t>If a student measured the solubility of Ce₂(SO</w:t>
      </w:r>
      <w:proofErr w:type="gramStart"/>
      <w:r w:rsidRPr="001018AF">
        <w:rPr>
          <w:rFonts w:ascii="Arial" w:hAnsi="Arial"/>
          <w:sz w:val="20"/>
          <w:szCs w:val="20"/>
        </w:rPr>
        <w:t>₄)₃</w:t>
      </w:r>
      <w:proofErr w:type="gramEnd"/>
      <w:r w:rsidRPr="001018AF">
        <w:rPr>
          <w:rFonts w:ascii="Arial" w:hAnsi="Arial"/>
          <w:sz w:val="20"/>
          <w:szCs w:val="20"/>
        </w:rPr>
        <w:t xml:space="preserve"> at 100°C and obtained 0.0 g, would this represent a logical extension of the trend or a physical boundary? Explain the limits of validity when extrapolating solubility trends beyond the measured range.</w:t>
      </w:r>
    </w:p>
    <w:p w14:paraId="6A86CE0F" w14:textId="77777777" w:rsidR="002E4C6A" w:rsidRPr="001018AF" w:rsidRDefault="00000000" w:rsidP="001018AF">
      <w:pPr>
        <w:pStyle w:val="ListBullet"/>
        <w:spacing w:after="80"/>
        <w:ind w:left="-360" w:right="-630"/>
        <w:rPr>
          <w:sz w:val="20"/>
          <w:szCs w:val="20"/>
        </w:rPr>
      </w:pPr>
      <w:r w:rsidRPr="001018AF">
        <w:rPr>
          <w:rFonts w:ascii="Arial" w:hAnsi="Arial"/>
          <w:sz w:val="20"/>
          <w:szCs w:val="20"/>
        </w:rPr>
        <w:t>Propose one systematic error and one random error that could occur when measuring solubility at high temperatures (e.g., 80°C), and explain how each would affect the data.</w:t>
      </w:r>
    </w:p>
    <w:p w14:paraId="509C05B1" w14:textId="5E14622C" w:rsidR="002E4C6A" w:rsidRDefault="00000000" w:rsidP="001018AF">
      <w:pPr>
        <w:spacing w:before="160" w:after="80"/>
        <w:ind w:left="-360" w:right="-630"/>
      </w:pPr>
      <w:r>
        <w:rPr>
          <w:rFonts w:ascii="Arial" w:hAnsi="Arial"/>
          <w:b/>
        </w:rPr>
        <w:t xml:space="preserve">Part 4 — Tell the Story </w:t>
      </w:r>
    </w:p>
    <w:p w14:paraId="0C9334E4" w14:textId="77777777" w:rsidR="002E4C6A" w:rsidRPr="001018AF" w:rsidRDefault="00000000" w:rsidP="001018AF">
      <w:pPr>
        <w:pStyle w:val="ListBullet"/>
        <w:spacing w:after="80"/>
        <w:ind w:left="-360" w:right="-630"/>
        <w:rPr>
          <w:sz w:val="20"/>
          <w:szCs w:val="20"/>
        </w:rPr>
      </w:pPr>
      <w:r w:rsidRPr="001018AF">
        <w:rPr>
          <w:rFonts w:ascii="Arial" w:hAnsi="Arial"/>
          <w:sz w:val="20"/>
          <w:szCs w:val="20"/>
        </w:rPr>
        <w:t>Write a structured 5–7 sentence paragraph summarizing the story of this data. Flow: comparative observations → thermodynamic inferences → physical limits of the trend → additional measurements needed to validate your inferences.</w:t>
      </w:r>
    </w:p>
    <w:p w14:paraId="0660BD4A" w14:textId="77777777" w:rsidR="002E4C6A" w:rsidRDefault="00000000">
      <w:r>
        <w:br w:type="page"/>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