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35CEFEE9" w14:textId="77777777" w:rsidR="00AA082C" w:rsidRDefault="00000000" w:rsidP="00BF3739">
      <w:pPr>
        <w:spacing w:after="40"/>
        <w:ind w:left="-540" w:right="-270"/>
      </w:pPr>
      <w:r>
        <w:rPr>
          <w:rFonts w:ascii="Arial" w:hAnsi="Arial"/>
          <w:b/>
          <w:color w:val="1E3A5F"/>
          <w:sz w:val="23"/>
        </w:rPr>
        <w:t>Honors Chemistry — Unit 1: Foundations of Chemistry &amp; the Nature of Science</w:t>
      </w:r>
    </w:p>
    <w:p w14:paraId="6115FB45" w14:textId="77777777" w:rsidR="00AA082C" w:rsidRDefault="00000000" w:rsidP="00BF3739">
      <w:pPr>
        <w:spacing w:after="240"/>
        <w:ind w:left="-540" w:right="-270"/>
      </w:pPr>
      <w:r>
        <w:rPr>
          <w:rFonts w:ascii="Arial" w:hAnsi="Arial"/>
          <w:color w:val="444444"/>
          <w:sz w:val="19"/>
        </w:rPr>
        <w:t>ASPIRE TO DO   |   Area 4 · Theories &amp; Laws</w:t>
      </w:r>
    </w:p>
    <w:p w14:paraId="235582F9" w14:textId="77777777" w:rsidR="00AA082C" w:rsidRPr="00BF3739" w:rsidRDefault="00000000" w:rsidP="00BF3739">
      <w:pPr>
        <w:spacing w:after="80"/>
        <w:ind w:left="-540" w:right="-270"/>
        <w:rPr>
          <w:lang w:val="fr-FR"/>
        </w:rPr>
      </w:pPr>
      <w:r w:rsidRPr="00BF3739">
        <w:rPr>
          <w:rFonts w:ascii="Arial" w:hAnsi="Arial"/>
          <w:b/>
          <w:sz w:val="32"/>
          <w:lang w:val="fr-FR"/>
        </w:rPr>
        <w:t xml:space="preserve">Option </w:t>
      </w:r>
      <w:proofErr w:type="gramStart"/>
      <w:r w:rsidRPr="00BF3739">
        <w:rPr>
          <w:rFonts w:ascii="Arial" w:hAnsi="Arial"/>
          <w:b/>
          <w:sz w:val="32"/>
          <w:lang w:val="fr-FR"/>
        </w:rPr>
        <w:t>A:</w:t>
      </w:r>
      <w:proofErr w:type="gramEnd"/>
      <w:r w:rsidRPr="00BF3739">
        <w:rPr>
          <w:rFonts w:ascii="Arial" w:hAnsi="Arial"/>
          <w:b/>
          <w:sz w:val="32"/>
          <w:lang w:val="fr-FR"/>
        </w:rPr>
        <w:t xml:space="preserve"> </w:t>
      </w:r>
      <w:proofErr w:type="spellStart"/>
      <w:r w:rsidRPr="00BF3739">
        <w:rPr>
          <w:rFonts w:ascii="Arial" w:hAnsi="Arial"/>
          <w:b/>
          <w:sz w:val="32"/>
          <w:lang w:val="fr-FR"/>
        </w:rPr>
        <w:t>Debunk</w:t>
      </w:r>
      <w:proofErr w:type="spellEnd"/>
      <w:r w:rsidRPr="00BF3739">
        <w:rPr>
          <w:rFonts w:ascii="Arial" w:hAnsi="Arial"/>
          <w:b/>
          <w:sz w:val="32"/>
          <w:lang w:val="fr-FR"/>
        </w:rPr>
        <w:t xml:space="preserve"> the </w:t>
      </w:r>
      <w:proofErr w:type="spellStart"/>
      <w:r w:rsidRPr="00BF3739">
        <w:rPr>
          <w:rFonts w:ascii="Arial" w:hAnsi="Arial"/>
          <w:b/>
          <w:sz w:val="32"/>
          <w:lang w:val="fr-FR"/>
        </w:rPr>
        <w:t>Misconception</w:t>
      </w:r>
      <w:proofErr w:type="spellEnd"/>
    </w:p>
    <w:p w14:paraId="228E5C6E" w14:textId="77777777" w:rsidR="00AA082C" w:rsidRPr="00BF3739" w:rsidRDefault="00000000" w:rsidP="00BF3739">
      <w:pPr>
        <w:spacing w:after="360"/>
        <w:ind w:left="-540" w:right="-270"/>
        <w:rPr>
          <w:lang w:val="fr-FR"/>
        </w:rPr>
      </w:pPr>
      <w:proofErr w:type="spellStart"/>
      <w:r w:rsidRPr="00BF3739">
        <w:rPr>
          <w:rFonts w:ascii="Arial" w:hAnsi="Arial"/>
          <w:b/>
          <w:color w:val="444444"/>
          <w:sz w:val="19"/>
          <w:lang w:val="fr-FR"/>
        </w:rPr>
        <w:t>Stretches</w:t>
      </w:r>
      <w:proofErr w:type="spellEnd"/>
      <w:r w:rsidRPr="00BF3739">
        <w:rPr>
          <w:rFonts w:ascii="Arial" w:hAnsi="Arial"/>
          <w:b/>
          <w:color w:val="444444"/>
          <w:sz w:val="19"/>
          <w:lang w:val="fr-FR"/>
        </w:rPr>
        <w:t xml:space="preserve"> </w:t>
      </w:r>
      <w:proofErr w:type="spellStart"/>
      <w:r w:rsidRPr="00BF3739">
        <w:rPr>
          <w:rFonts w:ascii="Arial" w:hAnsi="Arial"/>
          <w:b/>
          <w:color w:val="444444"/>
          <w:sz w:val="19"/>
          <w:lang w:val="fr-FR"/>
        </w:rPr>
        <w:t>Level</w:t>
      </w:r>
      <w:proofErr w:type="spellEnd"/>
      <w:r w:rsidRPr="00BF3739">
        <w:rPr>
          <w:rFonts w:ascii="Arial" w:hAnsi="Arial"/>
          <w:b/>
          <w:color w:val="444444"/>
          <w:sz w:val="19"/>
          <w:lang w:val="fr-FR"/>
        </w:rPr>
        <w:t xml:space="preserve"> 3.0 </w:t>
      </w:r>
      <w:proofErr w:type="spellStart"/>
      <w:proofErr w:type="gramStart"/>
      <w:r w:rsidRPr="00BF3739">
        <w:rPr>
          <w:rFonts w:ascii="Arial" w:hAnsi="Arial"/>
          <w:b/>
          <w:color w:val="444444"/>
          <w:sz w:val="19"/>
          <w:lang w:val="fr-FR"/>
        </w:rPr>
        <w:t>targets</w:t>
      </w:r>
      <w:proofErr w:type="spellEnd"/>
      <w:r w:rsidRPr="00BF3739">
        <w:rPr>
          <w:rFonts w:ascii="Arial" w:hAnsi="Arial"/>
          <w:b/>
          <w:color w:val="444444"/>
          <w:sz w:val="19"/>
          <w:lang w:val="fr-FR"/>
        </w:rPr>
        <w:t>:</w:t>
      </w:r>
      <w:proofErr w:type="gramEnd"/>
      <w:r w:rsidRPr="00BF3739">
        <w:rPr>
          <w:rFonts w:ascii="Arial" w:hAnsi="Arial"/>
          <w:b/>
          <w:color w:val="444444"/>
          <w:sz w:val="19"/>
          <w:lang w:val="fr-FR"/>
        </w:rPr>
        <w:t xml:space="preserve"> SC.</w:t>
      </w:r>
      <w:proofErr w:type="gramStart"/>
      <w:r w:rsidRPr="00BF3739">
        <w:rPr>
          <w:rFonts w:ascii="Arial" w:hAnsi="Arial"/>
          <w:b/>
          <w:color w:val="444444"/>
          <w:sz w:val="19"/>
          <w:lang w:val="fr-FR"/>
        </w:rPr>
        <w:t>912.N.</w:t>
      </w:r>
      <w:proofErr w:type="gramEnd"/>
      <w:r w:rsidRPr="00BF3739">
        <w:rPr>
          <w:rFonts w:ascii="Arial" w:hAnsi="Arial"/>
          <w:b/>
          <w:color w:val="444444"/>
          <w:sz w:val="19"/>
          <w:lang w:val="fr-FR"/>
        </w:rPr>
        <w:t>3.1 T1, T2 • SC.</w:t>
      </w:r>
      <w:proofErr w:type="gramStart"/>
      <w:r w:rsidRPr="00BF3739">
        <w:rPr>
          <w:rFonts w:ascii="Arial" w:hAnsi="Arial"/>
          <w:b/>
          <w:color w:val="444444"/>
          <w:sz w:val="19"/>
          <w:lang w:val="fr-FR"/>
        </w:rPr>
        <w:t>912.N.</w:t>
      </w:r>
      <w:proofErr w:type="gramEnd"/>
      <w:r w:rsidRPr="00BF3739">
        <w:rPr>
          <w:rFonts w:ascii="Arial" w:hAnsi="Arial"/>
          <w:b/>
          <w:color w:val="444444"/>
          <w:sz w:val="19"/>
          <w:lang w:val="fr-FR"/>
        </w:rPr>
        <w:t>3.3 T1, T2 • SC.</w:t>
      </w:r>
      <w:proofErr w:type="gramStart"/>
      <w:r w:rsidRPr="00BF3739">
        <w:rPr>
          <w:rFonts w:ascii="Arial" w:hAnsi="Arial"/>
          <w:b/>
          <w:color w:val="444444"/>
          <w:sz w:val="19"/>
          <w:lang w:val="fr-FR"/>
        </w:rPr>
        <w:t>912.N.</w:t>
      </w:r>
      <w:proofErr w:type="gramEnd"/>
      <w:r w:rsidRPr="00BF3739">
        <w:rPr>
          <w:rFonts w:ascii="Arial" w:hAnsi="Arial"/>
          <w:b/>
          <w:color w:val="444444"/>
          <w:sz w:val="19"/>
          <w:lang w:val="fr-FR"/>
        </w:rPr>
        <w:t>3.4 T1, T2</w:t>
      </w:r>
    </w:p>
    <w:p w14:paraId="4A7CB6DC" w14:textId="1F26B72B" w:rsidR="00AA082C" w:rsidRDefault="00000000" w:rsidP="00BF3739">
      <w:pPr>
        <w:spacing w:after="120"/>
        <w:ind w:left="-540" w:right="-270"/>
      </w:pPr>
      <w:r>
        <w:rPr>
          <w:rFonts w:ascii="Arial" w:hAnsi="Arial"/>
          <w:sz w:val="21"/>
        </w:rPr>
        <w:t>One of the most persistent misconceptions in science education is the idea of a 'scientific hierarchy'</w:t>
      </w:r>
      <w:r w:rsidR="00BF3739">
        <w:rPr>
          <w:rFonts w:ascii="Arial" w:hAnsi="Arial"/>
          <w:sz w:val="21"/>
        </w:rPr>
        <w:t xml:space="preserve">; </w:t>
      </w:r>
      <w:r>
        <w:rPr>
          <w:rFonts w:ascii="Arial" w:hAnsi="Arial"/>
          <w:sz w:val="21"/>
        </w:rPr>
        <w:t>that hypotheses mature into theories, which eventually become laws once they are 'proven.' Your job is to debunk this misconception by analyzing the epistemological differences between descriptions (laws) and explanations (theories), using Thomas Kuhn's account of the shift from phlogiston theory to Lavoisier's oxygen theory.</w:t>
      </w:r>
    </w:p>
    <w:p w14:paraId="2D7FFA07" w14:textId="77777777" w:rsidR="00AA082C" w:rsidRDefault="00000000" w:rsidP="00BF3739">
      <w:pPr>
        <w:spacing w:before="240" w:after="120"/>
        <w:ind w:left="-540" w:right="-270"/>
      </w:pPr>
      <w:r>
        <w:rPr>
          <w:rFonts w:ascii="Arial" w:hAnsi="Arial"/>
          <w:b/>
          <w:color w:val="1E3A5F"/>
          <w:sz w:val="26"/>
        </w:rPr>
        <w:t>The Case Study: Phlogiston Theory vs. Lavoisier's Oxygen Theory</w:t>
      </w:r>
    </w:p>
    <w:p w14:paraId="21A7ABCC" w14:textId="3538932C" w:rsidR="00AA082C" w:rsidRDefault="00000000" w:rsidP="00BF3739">
      <w:pPr>
        <w:spacing w:after="120"/>
        <w:ind w:left="-540" w:right="-270"/>
      </w:pPr>
      <w:r>
        <w:rPr>
          <w:rFonts w:ascii="Arial" w:hAnsi="Arial"/>
          <w:sz w:val="21"/>
        </w:rPr>
        <w:t>In the early 1700s, Georg Stahl's phlogiston theory was the leading framework of chemistry. It held that anything that burns releases an invisible 'fire principle' called phlogiston: a metal, for instance, was thought to be a combination of its calx (the rust-like ash left after roasting) plus phlogiston, with air acting as a reservoir that absorbed the escaping phlogiston. The theory offered one coherent picture of burning, rusting, and respiration, and it guided chemists' experiments for decades.</w:t>
      </w:r>
      <w:r>
        <w:rPr>
          <w:rFonts w:ascii="Arial" w:hAnsi="Arial"/>
          <w:sz w:val="21"/>
        </w:rPr>
        <w:br/>
        <w:t xml:space="preserve">The trouble was mass. When </w:t>
      </w:r>
      <w:proofErr w:type="gramStart"/>
      <w:r>
        <w:rPr>
          <w:rFonts w:ascii="Arial" w:hAnsi="Arial"/>
          <w:sz w:val="21"/>
        </w:rPr>
        <w:t>a metal</w:t>
      </w:r>
      <w:proofErr w:type="gramEnd"/>
      <w:r>
        <w:rPr>
          <w:rFonts w:ascii="Arial" w:hAnsi="Arial"/>
          <w:sz w:val="21"/>
        </w:rPr>
        <w:t xml:space="preserve"> was roasted, its calx weighed MORE than the original metal</w:t>
      </w:r>
      <w:r w:rsidR="00BF3739">
        <w:rPr>
          <w:rFonts w:ascii="Arial" w:hAnsi="Arial"/>
          <w:sz w:val="21"/>
        </w:rPr>
        <w:t>,</w:t>
      </w:r>
      <w:r>
        <w:rPr>
          <w:rFonts w:ascii="Arial" w:hAnsi="Arial"/>
          <w:sz w:val="21"/>
        </w:rPr>
        <w:t xml:space="preserve"> yet</w:t>
      </w:r>
      <w:r w:rsidR="00BF3739">
        <w:rPr>
          <w:rFonts w:ascii="Arial" w:hAnsi="Arial"/>
          <w:sz w:val="21"/>
        </w:rPr>
        <w:t>,</w:t>
      </w:r>
      <w:r>
        <w:rPr>
          <w:rFonts w:ascii="Arial" w:hAnsi="Arial"/>
          <w:sz w:val="21"/>
        </w:rPr>
        <w:t xml:space="preserve"> according to the theory the metal had released phlogiston, so it should have gotten lighter. To save the theory, phlogiston had to be given 'negative weight,' an increasingly awkward fix. In the 1770s, Antoine Lavoisier's careful quantitative experiments showed that burning and calcination are really combination with a gas he named oxygen. The oxygen theory explained the mass gain directly: the product weighs more because it has absorbed oxygen. From those same precise measurements, Lavoisier also established the Law of Conservation of Mass</w:t>
      </w:r>
      <w:r w:rsidR="00BF3739">
        <w:rPr>
          <w:rFonts w:ascii="Arial" w:hAnsi="Arial"/>
          <w:sz w:val="21"/>
        </w:rPr>
        <w:t>:</w:t>
      </w:r>
      <w:r>
        <w:rPr>
          <w:rFonts w:ascii="Arial" w:hAnsi="Arial"/>
          <w:sz w:val="21"/>
        </w:rPr>
        <w:t xml:space="preserve"> a descriptive law stating that mass is neither created nor destroyed in a chemical reaction.</w:t>
      </w:r>
      <w:r>
        <w:rPr>
          <w:rFonts w:ascii="Arial" w:hAnsi="Arial"/>
          <w:sz w:val="21"/>
        </w:rPr>
        <w:br/>
        <w:t xml:space="preserve">Thomas Kuhn later described this transition as a paradigm shift: the phlogiston framework was not falsified point by point; it was a whole way of seeing that shaped which questions chemists asked. When the oxygen theory replaced it, the questions themselves changed. Crucially, BOTH phlogiston theory and oxygen theory are theories </w:t>
      </w:r>
      <w:r w:rsidR="00BF3739">
        <w:rPr>
          <w:rFonts w:ascii="Arial" w:hAnsi="Arial"/>
          <w:sz w:val="21"/>
        </w:rPr>
        <w:t>(</w:t>
      </w:r>
      <w:r>
        <w:rPr>
          <w:rFonts w:ascii="Arial" w:hAnsi="Arial"/>
          <w:sz w:val="21"/>
        </w:rPr>
        <w:t>explanatory frameworks</w:t>
      </w:r>
      <w:r w:rsidR="00BF3739">
        <w:rPr>
          <w:rFonts w:ascii="Arial" w:hAnsi="Arial"/>
          <w:sz w:val="21"/>
        </w:rPr>
        <w:t>)</w:t>
      </w:r>
      <w:r>
        <w:rPr>
          <w:rFonts w:ascii="Arial" w:hAnsi="Arial"/>
          <w:sz w:val="21"/>
        </w:rPr>
        <w:t xml:space="preserve"> and neither ever 'became' a law, while the descriptive pattern Lavoisier measured became the Law of Conservation of Mass. </w:t>
      </w:r>
      <w:proofErr w:type="gramStart"/>
      <w:r>
        <w:rPr>
          <w:rFonts w:ascii="Arial" w:hAnsi="Arial"/>
          <w:sz w:val="21"/>
        </w:rPr>
        <w:t>The history</w:t>
      </w:r>
      <w:proofErr w:type="gramEnd"/>
      <w:r>
        <w:rPr>
          <w:rFonts w:ascii="Arial" w:hAnsi="Arial"/>
          <w:sz w:val="21"/>
        </w:rPr>
        <w:t xml:space="preserve"> shows a theory replacing a theory and a law emerging alongside it</w:t>
      </w:r>
      <w:r w:rsidR="00BF3739">
        <w:rPr>
          <w:rFonts w:ascii="Arial" w:hAnsi="Arial"/>
          <w:sz w:val="21"/>
        </w:rPr>
        <w:t>, n</w:t>
      </w:r>
      <w:r>
        <w:rPr>
          <w:rFonts w:ascii="Arial" w:hAnsi="Arial"/>
          <w:sz w:val="21"/>
        </w:rPr>
        <w:t>ot a linear 'hypothesis → theory → law' ladder.</w:t>
      </w:r>
    </w:p>
    <w:p w14:paraId="38766F00" w14:textId="77777777" w:rsidR="00AA082C" w:rsidRDefault="00000000" w:rsidP="00BF3739">
      <w:pPr>
        <w:spacing w:before="240" w:after="120"/>
        <w:ind w:left="-540" w:right="-270"/>
      </w:pPr>
      <w:r>
        <w:rPr>
          <w:rFonts w:ascii="Arial" w:hAnsi="Arial"/>
          <w:b/>
          <w:color w:val="1E3A5F"/>
          <w:sz w:val="26"/>
        </w:rPr>
        <w:t>Your Tasks</w:t>
      </w:r>
    </w:p>
    <w:p w14:paraId="328D2E30" w14:textId="77777777" w:rsidR="00AA082C" w:rsidRDefault="00000000" w:rsidP="00BF3739">
      <w:pPr>
        <w:pStyle w:val="ListBullet"/>
        <w:spacing w:after="80"/>
        <w:ind w:left="-540" w:right="-270"/>
      </w:pPr>
      <w:r>
        <w:rPr>
          <w:rFonts w:ascii="Arial" w:hAnsi="Arial"/>
          <w:sz w:val="21"/>
        </w:rPr>
        <w:t>Define Scientific Law, Scientific Theory, Explanation, and Description with academic precision, highlighting the core distinction between a description (‘what’) and an explanation (‘how/why’).</w:t>
      </w:r>
    </w:p>
    <w:p w14:paraId="6D31C372" w14:textId="77777777" w:rsidR="00AA082C" w:rsidRDefault="00000000" w:rsidP="00BF3739">
      <w:pPr>
        <w:pStyle w:val="ListBullet"/>
        <w:spacing w:after="80"/>
        <w:ind w:left="-540" w:right="-270"/>
      </w:pPr>
      <w:r>
        <w:rPr>
          <w:rFonts w:ascii="Arial" w:hAnsi="Arial"/>
          <w:sz w:val="21"/>
        </w:rPr>
        <w:t>Analyze the phlogiston → oxygen case study: (a) Explain why BOTH phlogiston theory and Lavoisier's oxygen theory are theories — and why neither was ever a law. (b) Identify the anomalous evidence (e.g., metals gaining mass on calcination) that phlogiston theory could not explain cleanly, and the ad hoc fix required to save it. (c) Explain how Lavoisier's quantitative experiments produced BOTH a descriptive law (the Law of Conservation of Mass) AND an explanatory theory (the oxygen theory), and state what distinguishes these two products of the same work.</w:t>
      </w:r>
    </w:p>
    <w:p w14:paraId="2923EEB7" w14:textId="77777777" w:rsidR="00AA082C" w:rsidRDefault="00000000" w:rsidP="00BF3739">
      <w:pPr>
        <w:pStyle w:val="ListBullet"/>
        <w:spacing w:after="80"/>
        <w:ind w:left="-540" w:right="-270"/>
      </w:pPr>
      <w:r>
        <w:rPr>
          <w:rFonts w:ascii="Arial" w:hAnsi="Arial"/>
          <w:sz w:val="21"/>
        </w:rPr>
        <w:t>Explain Thomas Kuhn's concept of a scientific paradigm shift using the historical transition from Phlogiston Theory to Lavoisier's Oxygen Theory. Describe how the shift changed the questions chemists asked, not just their answers, and contrast this model of theory refinement and replacement with the misconception of a linear 'hypothesis → theory → law' ladder.</w:t>
      </w:r>
    </w:p>
    <w:p w14:paraId="6289B786" w14:textId="77777777" w:rsidR="00AA082C" w:rsidRDefault="00000000" w:rsidP="00BF3739">
      <w:pPr>
        <w:pStyle w:val="ListBullet"/>
        <w:spacing w:after="80"/>
        <w:ind w:left="-540" w:right="-270"/>
      </w:pPr>
      <w:r>
        <w:rPr>
          <w:rFonts w:ascii="Arial" w:hAnsi="Arial"/>
          <w:sz w:val="21"/>
        </w:rPr>
        <w:t>Respond to a critic who says: “The atomic model is just a theory, so we cannot be sure atoms really exist. Once we have better microscopes, it will be proven and become the Law of Atoms.” Refute this statement, pointing out its logical and epistemological errors.</w:t>
      </w:r>
    </w:p>
    <w:p w14:paraId="58526FBD" w14:textId="77777777" w:rsidR="00AA082C" w:rsidRDefault="00000000">
      <w:r>
        <w:br w:type="page"/>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