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22"/>
        </w:rPr>
        <w:t>Honors Chemistry — Choice Board Assignment — ASPIRE (Level 4.0)</w:t>
      </w:r>
    </w:p>
    <w:p>
      <w:pPr>
        <w:spacing w:after="40"/>
      </w:pPr>
      <w:r>
        <w:rPr>
          <w:b/>
          <w:i w:val="0"/>
          <w:sz w:val="22"/>
        </w:rPr>
        <w:t>ASPIRE Area 2 - Option A  —  The Great Unit Audit</w:t>
      </w:r>
    </w:p>
    <w:p>
      <w:pPr>
        <w:spacing w:after="80"/>
      </w:pPr>
      <w:r>
        <w:rPr>
          <w:b w:val="0"/>
          <w:i/>
          <w:sz w:val="19"/>
        </w:rPr>
        <w:t>Unit 3: Measurement, Metric Conversions &amp; Significant Figures   |   Standards MAFS.912.N-Q.1.1  |  MAFS.912.N-Q.1.3 — Metric Conversions &amp; Dimensional Analysis</w:t>
      </w:r>
    </w:p>
    <w:p>
      <w:pPr>
        <w:spacing w:after="80"/>
      </w:pPr>
      <w:r>
        <w:rPr>
          <w:b/>
          <w:i w:val="0"/>
          <w:sz w:val="28"/>
        </w:rPr>
        <w:t>The Great Unit Audit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Name:</w:t>
            </w:r>
          </w:p>
        </w:tc>
        <w:tc>
          <w:tcPr>
            <w:tcW w:type="dxa" w:w="2610"/>
            <w:shd w:val="clear" w:color="auto" w:fill="D9D9D9"/>
          </w:tcPr>
          <w:p>
            <w:r>
              <w:t>Date: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Period:</w:t>
            </w:r>
          </w:p>
        </w:tc>
        <w:tc>
          <w:tcPr>
            <w:tcW w:type="dxa" w:w="2610"/>
            <w:shd w:val="clear" w:color="auto" w:fill="D9D9D9"/>
          </w:tcPr>
          <w:p>
            <w:r>
              <w:t>Tier:</w:t>
            </w:r>
          </w:p>
        </w:tc>
      </w:tr>
      <w:tr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>
              <w:t>ASPIRE TO DO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Builds on Level 3.0 targets</w:t>
      </w:r>
    </w:p>
    <w:p>
      <w:pPr>
        <w:spacing w:after="120"/>
      </w:pPr>
      <w:r>
        <w:rPr>
          <w:b w:val="0"/>
          <w:i w:val="0"/>
          <w:sz w:val="22"/>
        </w:rPr>
        <w:t>MAFS.912.N-Q.1.1 T1, T2 • N-Q.1.3 T2 — conversion reasoning taken to auditing real-world mixed-unit data.</w:t>
      </w:r>
    </w:p>
    <w:p>
      <w:pPr>
        <w:spacing w:after="40"/>
      </w:pPr>
      <w:r>
        <w:rPr>
          <w:b/>
          <w:i w:val="0"/>
          <w:sz w:val="23"/>
        </w:rPr>
        <w:t>The mission</w:t>
      </w:r>
    </w:p>
    <w:p>
      <w:pPr>
        <w:spacing w:after="120"/>
      </w:pPr>
      <w:r>
        <w:rPr>
          <w:b w:val="0"/>
          <w:i w:val="0"/>
          <w:sz w:val="22"/>
        </w:rPr>
        <w:t>You are an "auditor" who collects real-world things that mix units — a recipe in cups and grams, a medicine label in mg and µg, a package listed in both lb and kg, a car speed in mph and km/h — and checks whether the numbers on them are actually consistent.</w:t>
      </w:r>
    </w:p>
    <w:p>
      <w:pPr>
        <w:spacing w:after="40"/>
      </w:pPr>
      <w:r>
        <w:rPr>
          <w:b/>
          <w:i w:val="0"/>
          <w:sz w:val="23"/>
        </w:rPr>
        <w:t>What to do</w:t>
      </w:r>
    </w:p>
    <w:p>
      <w:pPr>
        <w:spacing w:after="120"/>
      </w:pPr>
      <w:r>
        <w:rPr>
          <w:b w:val="0"/>
          <w:i w:val="0"/>
          <w:sz w:val="22"/>
        </w:rPr>
        <w:t>1.  Collect at least FOUR real examples of mixed units (label them or photograph them).</w:t>
        <w:br/>
        <w:t>2.  For each, write the two quantities and convert one to the other with the correct factor.</w:t>
        <w:br/>
        <w:t>3.  Verify consistency: do the two labels agree? If not, which is wrong and by how much?</w:t>
        <w:br/>
        <w:t>4.  Rank your examples from "most consistent" to "most misleading" and justify the ranking.</w:t>
        <w:br/>
        <w:t>5.  Present your audit as a short table plus a one-page findings summary — a recommendation for one label you would fix.</w:t>
      </w:r>
    </w:p>
    <w:p>
      <w:pPr>
        <w:spacing w:after="40"/>
      </w:pPr>
      <w:r>
        <w:rPr>
          <w:b/>
          <w:i w:val="0"/>
          <w:sz w:val="23"/>
        </w:rPr>
        <w:t>The leap</w:t>
      </w:r>
    </w:p>
    <w:p>
      <w:pPr>
        <w:spacing w:after="120"/>
      </w:pPr>
      <w:r>
        <w:rPr>
          <w:b w:val="0"/>
          <w:i w:val="0"/>
          <w:sz w:val="22"/>
        </w:rPr>
        <w:t>You gather REAL data from your own life, decide what "consistent" means, compute discrepancies, and form a recommendation — moving from solving conversions to auditing and judging them.</w:t>
      </w:r>
    </w:p>
    <w:p>
      <w:pPr>
        <w:spacing w:after="40"/>
      </w:pPr>
      <w:r>
        <w:rPr>
          <w:b/>
          <w:i w:val="0"/>
          <w:sz w:val="23"/>
        </w:rPr>
        <w:t>Turn in</w:t>
      </w:r>
    </w:p>
    <w:p>
      <w:pPr>
        <w:spacing w:after="120"/>
      </w:pPr>
      <w:r>
        <w:rPr>
          <w:b w:val="0"/>
          <w:i w:val="0"/>
          <w:sz w:val="22"/>
        </w:rPr>
        <w:t>Your audit table with all four examples, the conversions, the consistency verdict, and your recommended fix.</w:t>
      </w:r>
    </w:p>
    <w:p>
      <w:pPr>
        <w:spacing w:after="40"/>
      </w:pPr>
      <w:r>
        <w:rPr>
          <w:b/>
          <w:i w:val="0"/>
          <w:sz w:val="23"/>
        </w:rPr>
        <w:t>Audit table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88"/>
        <w:gridCol w:w="2088"/>
        <w:gridCol w:w="2088"/>
        <w:gridCol w:w="2088"/>
        <w:gridCol w:w="2088"/>
      </w:tblGrid>
      <w:tr>
        <w:tc>
          <w:tcPr>
            <w:tcW w:type="dxa" w:w="2088"/>
            <w:shd w:val="clear" w:color="auto" w:fill="D9D9D9"/>
          </w:tcPr>
          <w:p>
            <w:r>
              <w:t>Real example</w:t>
            </w:r>
          </w:p>
        </w:tc>
        <w:tc>
          <w:tcPr>
            <w:tcW w:type="dxa" w:w="2088"/>
            <w:shd w:val="clear" w:color="auto" w:fill="D9D9D9"/>
          </w:tcPr>
          <w:p>
            <w:r>
              <w:t>Two unit forms seen</w:t>
            </w:r>
          </w:p>
        </w:tc>
        <w:tc>
          <w:tcPr>
            <w:tcW w:type="dxa" w:w="2088"/>
            <w:shd w:val="clear" w:color="auto" w:fill="D9D9D9"/>
          </w:tcPr>
          <w:p>
            <w:r>
              <w:t>Conversion</w:t>
            </w:r>
          </w:p>
        </w:tc>
        <w:tc>
          <w:tcPr>
            <w:tcW w:type="dxa" w:w="2088"/>
            <w:shd w:val="clear" w:color="auto" w:fill="D9D9D9"/>
          </w:tcPr>
          <w:p>
            <w:r>
              <w:t>Consistent? (yes/no)</w:t>
            </w:r>
          </w:p>
        </w:tc>
        <w:tc>
          <w:tcPr>
            <w:tcW w:type="dxa" w:w="2088"/>
            <w:shd w:val="clear" w:color="auto" w:fill="D9D9D9"/>
          </w:tcPr>
          <w:p>
            <w:r>
              <w:t>Recommendation</w:t>
            </w:r>
          </w:p>
        </w:tc>
      </w:tr>
      <w:tr>
        <w:tc>
          <w:tcPr>
            <w:tcW w:type="dxa" w:w="2088"/>
          </w:tcPr>
          <w:p>
            <w:r>
              <w:t xml:space="preserve">1. </w:t>
            </w:r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2088"/>
          </w:tcPr>
          <w:p>
            <w:r>
              <w:t xml:space="preserve">2. </w:t>
            </w:r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2088"/>
          </w:tcPr>
          <w:p>
            <w:r>
              <w:t xml:space="preserve">3. </w:t>
            </w:r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</w:tr>
      <w:tr>
        <w:tc>
          <w:tcPr>
            <w:tcW w:type="dxa" w:w="2088"/>
          </w:tcPr>
          <w:p>
            <w:r>
              <w:t xml:space="preserve">4. </w:t>
            </w:r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  <w:tc>
          <w:tcPr>
            <w:tcW w:type="dxa" w:w="2088"/>
          </w:tcPr>
          <w:p>
            <w:r/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