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sz w:val="22"/>
        </w:rPr>
        <w:t>Honors Chemistry — Choice Board Assignment — ASPIRE (Level 4.0)</w:t>
      </w:r>
    </w:p>
    <w:p>
      <w:pPr>
        <w:spacing w:after="40"/>
      </w:pPr>
      <w:r>
        <w:rPr>
          <w:b/>
          <w:i w:val="0"/>
          <w:sz w:val="22"/>
        </w:rPr>
        <w:t>ASPIRE Area 2 - Option C  —  Mission Control: The Case of the Unit Mix-Up</w:t>
      </w:r>
    </w:p>
    <w:p>
      <w:pPr>
        <w:spacing w:after="80"/>
      </w:pPr>
      <w:r>
        <w:rPr>
          <w:b w:val="0"/>
          <w:i/>
          <w:sz w:val="19"/>
        </w:rPr>
        <w:t>Unit 3: Measurement, Metric Conversions &amp; Significant Figures   |   Standards MAFS.912.N-Q.1.1  |  MAFS.912.N-Q.1.3 — Metric Conversions &amp; Dimensional Analysis</w:t>
      </w:r>
    </w:p>
    <w:p>
      <w:pPr>
        <w:spacing w:after="80"/>
      </w:pPr>
      <w:r>
        <w:rPr>
          <w:b/>
          <w:i w:val="0"/>
          <w:sz w:val="28"/>
        </w:rPr>
        <w:t>Mission Control: The Case of the Unit Mix-Up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10"/>
        <w:gridCol w:w="2610"/>
        <w:gridCol w:w="2610"/>
        <w:gridCol w:w="2610"/>
      </w:tblGrid>
      <w:tr>
        <w:tc>
          <w:tcPr>
            <w:tcW w:type="dxa" w:w="2610"/>
            <w:shd w:val="clear" w:color="auto" w:fill="D9D9D9"/>
          </w:tcPr>
          <w:p>
            <w:r>
              <w:t>Name:</w:t>
            </w:r>
          </w:p>
        </w:tc>
        <w:tc>
          <w:tcPr>
            <w:tcW w:type="dxa" w:w="2610"/>
            <w:shd w:val="clear" w:color="auto" w:fill="D9D9D9"/>
          </w:tcPr>
          <w:p>
            <w:r>
              <w:t>Date:</w:t>
            </w:r>
          </w:p>
        </w:tc>
        <w:tc>
          <w:tcPr>
            <w:tcW w:type="dxa" w:w="2610"/>
            <w:shd w:val="clear" w:color="auto" w:fill="D9D9D9"/>
          </w:tcPr>
          <w:p>
            <w:r>
              <w:t>Period:</w:t>
            </w:r>
          </w:p>
        </w:tc>
        <w:tc>
          <w:tcPr>
            <w:tcW w:type="dxa" w:w="2610"/>
            <w:shd w:val="clear" w:color="auto" w:fill="D9D9D9"/>
          </w:tcPr>
          <w:p>
            <w:r>
              <w:t>Tier:</w:t>
            </w:r>
          </w:p>
        </w:tc>
      </w:tr>
      <w:tr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>
              <w:t>ASPIRE TO DO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  <w:sz w:val="23"/>
        </w:rPr>
        <w:t>Builds on Level 3.0 targets</w:t>
      </w:r>
    </w:p>
    <w:p>
      <w:pPr>
        <w:spacing w:after="120"/>
      </w:pPr>
      <w:r>
        <w:rPr>
          <w:b w:val="0"/>
          <w:i w:val="0"/>
          <w:sz w:val="22"/>
        </w:rPr>
        <w:t>MAFS.912.N-Q.1.1 T1, T2 • N-Q.1.3 T2 — using conversions to analyze a real high-stakes unit mistake and defend a verdict.</w:t>
      </w:r>
    </w:p>
    <w:p>
      <w:pPr>
        <w:spacing w:after="40"/>
      </w:pPr>
      <w:r>
        <w:rPr>
          <w:b/>
          <w:i w:val="0"/>
          <w:sz w:val="23"/>
        </w:rPr>
        <w:t>The mission</w:t>
      </w:r>
    </w:p>
    <w:p>
      <w:pPr>
        <w:spacing w:after="120"/>
      </w:pPr>
      <w:r>
        <w:rPr>
          <w:b w:val="0"/>
          <w:i w:val="0"/>
          <w:sz w:val="22"/>
        </w:rPr>
        <w:t>Investigate a real unit-conversion failure — the famous Mars Climate Orbiter (1999), lost when one team used metric and another used imperial units — or a medication-dosage error caused by a unit mix-up. Your job as "mission control," is to find EXACTLY where a conversion went wrong, and hand down a verdict on the root cause.</w:t>
      </w:r>
    </w:p>
    <w:p>
      <w:pPr>
        <w:spacing w:after="40"/>
      </w:pPr>
      <w:r>
        <w:rPr>
          <w:b/>
          <w:i w:val="0"/>
          <w:sz w:val="23"/>
        </w:rPr>
        <w:t>What to do</w:t>
      </w:r>
    </w:p>
    <w:p>
      <w:pPr>
        <w:spacing w:after="120"/>
      </w:pPr>
      <w:r>
        <w:rPr>
          <w:b w:val="0"/>
          <w:i w:val="0"/>
          <w:sz w:val="22"/>
        </w:rPr>
        <w:t>1.  Research your case (the Mars Climate Orbiter or a medication unit error). Summarize the device and what the unit mix-up was.</w:t>
        <w:br/>
        <w:t>2.  Reconstruct the faulty conversion: show the incorrect factor that was used and the correct one (e.g., pound-force vs newton).</w:t>
        <w:br/>
        <w:t>3.  Compute the magnitude of the error — how far off was the result, and why did it matter?</w:t>
        <w:br/>
        <w:t>4.  Identify the missing unit-sense check that would have caught it.</w:t>
        <w:br/>
        <w:t>5.  Deliver a CER verdict: what was the root cause, what evidence supports it, and what single procedure would have prevented the failure?</w:t>
      </w:r>
    </w:p>
    <w:p>
      <w:pPr>
        <w:spacing w:after="40"/>
      </w:pPr>
      <w:r>
        <w:rPr>
          <w:b/>
          <w:i w:val="0"/>
          <w:sz w:val="23"/>
        </w:rPr>
        <w:t>The leap</w:t>
      </w:r>
    </w:p>
    <w:p>
      <w:pPr>
        <w:spacing w:after="120"/>
      </w:pPr>
      <w:r>
        <w:rPr>
          <w:b w:val="0"/>
          <w:i w:val="0"/>
          <w:sz w:val="22"/>
        </w:rPr>
        <w:t>You translate a real, high-stakes engineering failure into the exact math you learned, and use it to judge a root cause — connecting conversions to consequences.</w:t>
      </w:r>
    </w:p>
    <w:p>
      <w:pPr>
        <w:spacing w:after="40"/>
      </w:pPr>
      <w:r>
        <w:rPr>
          <w:b/>
          <w:i w:val="0"/>
          <w:sz w:val="23"/>
        </w:rPr>
        <w:t>Turn in</w:t>
      </w:r>
    </w:p>
    <w:p>
      <w:pPr>
        <w:spacing w:after="120"/>
      </w:pPr>
      <w:r>
        <w:rPr>
          <w:b w:val="0"/>
          <w:i w:val="0"/>
          <w:sz w:val="22"/>
        </w:rPr>
        <w:t>Your case presentation (slides or poster) including the faulty-vs-correct conversion, the error magnitude, and the CER verdict.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20"/>
        <w:gridCol w:w="5220"/>
      </w:tblGrid>
      <w:tr>
        <w:tc>
          <w:tcPr>
            <w:tcW w:type="dxa" w:w="5220"/>
            <w:shd w:val="clear" w:color="auto" w:fill="D9D9D9"/>
          </w:tcPr>
          <w:p>
            <w:r>
              <w:t>Part</w:t>
            </w:r>
          </w:p>
        </w:tc>
        <w:tc>
          <w:tcPr>
            <w:tcW w:type="dxa" w:w="5220"/>
            <w:shd w:val="clear" w:color="auto" w:fill="D9D9D9"/>
          </w:tcPr>
          <w:p>
            <w:r>
              <w:t>Content</w:t>
            </w:r>
          </w:p>
        </w:tc>
      </w:tr>
      <w:tr>
        <w:tc>
          <w:tcPr>
            <w:tcW w:type="dxa" w:w="5220"/>
          </w:tcPr>
          <w:p>
            <w:r>
              <w:t>The case</w:t>
            </w:r>
          </w:p>
        </w:tc>
        <w:tc>
          <w:tcPr>
            <w:tcW w:type="dxa" w:w="5220"/>
          </w:tcPr>
          <w:p>
            <w:r>
              <w:t>What was lost / wrong, and the units involved.</w:t>
            </w:r>
          </w:p>
        </w:tc>
      </w:tr>
      <w:tr>
        <w:tc>
          <w:tcPr>
            <w:tcW w:type="dxa" w:w="5220"/>
          </w:tcPr>
          <w:p>
            <w:r>
              <w:t>The faulty factor</w:t>
            </w:r>
          </w:p>
        </w:tc>
        <w:tc>
          <w:tcPr>
            <w:tcW w:type="dxa" w:w="5220"/>
          </w:tcPr>
          <w:p>
            <w:r>
              <w:t>Incorrect conversion written out; the correct one beside it.</w:t>
            </w:r>
          </w:p>
        </w:tc>
      </w:tr>
      <w:tr>
        <w:tc>
          <w:tcPr>
            <w:tcW w:type="dxa" w:w="5220"/>
          </w:tcPr>
          <w:p>
            <w:r>
              <w:t>The error magnitude</w:t>
            </w:r>
          </w:p>
        </w:tc>
        <w:tc>
          <w:tcPr>
            <w:tcW w:type="dxa" w:w="5220"/>
          </w:tcPr>
          <w:p>
            <w:r>
              <w:t>How far off the result was, and why it mattered.</w:t>
            </w:r>
          </w:p>
        </w:tc>
      </w:tr>
      <w:tr>
        <w:tc>
          <w:tcPr>
            <w:tcW w:type="dxa" w:w="5220"/>
          </w:tcPr>
          <w:p>
            <w:r>
              <w:t>The missed check</w:t>
            </w:r>
          </w:p>
        </w:tc>
        <w:tc>
          <w:tcPr>
            <w:tcW w:type="dxa" w:w="5220"/>
          </w:tcPr>
          <w:p>
            <w:r>
              <w:t>The unit-sense step that would have caught it.</w:t>
            </w:r>
          </w:p>
        </w:tc>
      </w:tr>
      <w:tr>
        <w:tc>
          <w:tcPr>
            <w:tcW w:type="dxa" w:w="5220"/>
          </w:tcPr>
          <w:p>
            <w:r>
              <w:t>CER verdict</w:t>
            </w:r>
          </w:p>
        </w:tc>
        <w:tc>
          <w:tcPr>
            <w:tcW w:type="dxa" w:w="5220"/>
          </w:tcPr>
          <w:p>
            <w:r>
              <w:t>Root cause + evidence + the one procedure to prevent it.</w:t>
            </w:r>
          </w:p>
        </w:tc>
      </w:tr>
    </w:tbl>
    <w:p>
      <w:pPr>
        <w:spacing w:after="40"/>
      </w:pPr>
    </w:p>
    <w:sectPr w:rsidR="00FC693F" w:rsidRPr="0006063C" w:rsidSect="000346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